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C000"/>
  <w:body>
    <w:p w:rsidR="00021A78" w:rsidRPr="00021A78" w:rsidRDefault="00021A78" w:rsidP="00021A78">
      <w:pPr>
        <w:jc w:val="both"/>
        <w:rPr>
          <w:rFonts w:ascii="Antique Olive" w:hAnsi="Antique Olive"/>
          <w:sz w:val="24"/>
        </w:rPr>
      </w:pPr>
      <w:r w:rsidRPr="00021A78">
        <w:rPr>
          <w:rFonts w:ascii="Antique Olive" w:hAnsi="Antique Olive"/>
          <w:sz w:val="24"/>
        </w:rPr>
        <w:t>El Departamento Administrativo de la Defensoría del Espacio Público, desarroll</w:t>
      </w:r>
      <w:r w:rsidR="00A82179">
        <w:rPr>
          <w:rFonts w:ascii="Antique Olive" w:hAnsi="Antique Olive"/>
          <w:sz w:val="24"/>
        </w:rPr>
        <w:t>ó</w:t>
      </w:r>
      <w:r w:rsidRPr="00021A78">
        <w:rPr>
          <w:rFonts w:ascii="Antique Olive" w:hAnsi="Antique Olive"/>
          <w:sz w:val="24"/>
        </w:rPr>
        <w:t xml:space="preserve"> durante el primer trimestre de 2019 las siguientes actividades encaminadas a </w:t>
      </w:r>
      <w:r w:rsidR="00ED1EA3">
        <w:rPr>
          <w:rFonts w:ascii="Antique Olive" w:hAnsi="Antique Olive"/>
          <w:sz w:val="24"/>
        </w:rPr>
        <w:t xml:space="preserve">lograr </w:t>
      </w:r>
      <w:r w:rsidRPr="00021A78">
        <w:rPr>
          <w:rFonts w:ascii="Antique Olive" w:hAnsi="Antique Olive"/>
          <w:sz w:val="24"/>
        </w:rPr>
        <w:t>la implementación del Modelo Integrado de Planeación y Gestión - MIPG</w:t>
      </w:r>
    </w:p>
    <w:p w:rsidR="00021A78" w:rsidRPr="00021A78" w:rsidRDefault="00021A78" w:rsidP="00021A78">
      <w:pPr>
        <w:pStyle w:val="Prrafodelista"/>
        <w:numPr>
          <w:ilvl w:val="0"/>
          <w:numId w:val="1"/>
        </w:numPr>
        <w:rPr>
          <w:rFonts w:ascii="Antique Olive" w:hAnsi="Antique Olive"/>
          <w:b/>
          <w:sz w:val="24"/>
        </w:rPr>
      </w:pPr>
      <w:r w:rsidRPr="00021A78">
        <w:rPr>
          <w:rFonts w:ascii="Antique Olive" w:hAnsi="Antique Olive"/>
          <w:b/>
          <w:sz w:val="24"/>
        </w:rPr>
        <w:t xml:space="preserve">Construcción e inició de la ejecución del Plan de Acción </w:t>
      </w:r>
      <w:r w:rsidR="007F4964">
        <w:rPr>
          <w:rFonts w:ascii="Antique Olive" w:hAnsi="Antique Olive"/>
          <w:b/>
          <w:sz w:val="24"/>
        </w:rPr>
        <w:t>para la implementación de MIPG</w:t>
      </w:r>
    </w:p>
    <w:p w:rsidR="00021A78" w:rsidRPr="00341CF8" w:rsidRDefault="007F4964" w:rsidP="00194834">
      <w:pPr>
        <w:pStyle w:val="Prrafodelista"/>
        <w:jc w:val="both"/>
        <w:rPr>
          <w:rFonts w:ascii="Antique Olive" w:hAnsi="Antique Olive"/>
          <w:sz w:val="20"/>
          <w:szCs w:val="20"/>
        </w:rPr>
      </w:pPr>
      <w:r w:rsidRPr="007F4964">
        <w:rPr>
          <w:rFonts w:ascii="Antique Olive" w:hAnsi="Antique Olive"/>
          <w:sz w:val="20"/>
          <w:szCs w:val="20"/>
        </w:rPr>
        <w:t>En cumplimiento de las Directrices establecidas por la Secretaría General del Distrito y el Departamento Administrativo de la Función Pública</w:t>
      </w:r>
      <w:r>
        <w:rPr>
          <w:rFonts w:ascii="Antique Olive" w:hAnsi="Antique Olive"/>
          <w:sz w:val="20"/>
          <w:szCs w:val="20"/>
        </w:rPr>
        <w:t xml:space="preserve">, el DADEP construyó el Plan de Acción para la </w:t>
      </w:r>
      <w:r w:rsidRPr="00341CF8">
        <w:rPr>
          <w:rFonts w:ascii="Antique Olive" w:hAnsi="Antique Olive"/>
          <w:sz w:val="20"/>
          <w:szCs w:val="20"/>
        </w:rPr>
        <w:t xml:space="preserve">Vigencia 2019, con el propósito de implementar las 7 dimensiones y 17 políticas del modelo al interior de la Entidad, mediante la construcción de planes </w:t>
      </w:r>
      <w:r w:rsidR="00A82179" w:rsidRPr="00341CF8">
        <w:rPr>
          <w:rFonts w:ascii="Antique Olive" w:hAnsi="Antique Olive"/>
          <w:sz w:val="20"/>
          <w:szCs w:val="20"/>
        </w:rPr>
        <w:t>de aplicación para cada una de estas políticas</w:t>
      </w:r>
      <w:r w:rsidRPr="00341CF8">
        <w:rPr>
          <w:rFonts w:ascii="Antique Olive" w:hAnsi="Antique Olive"/>
          <w:sz w:val="20"/>
          <w:szCs w:val="20"/>
        </w:rPr>
        <w:t>.</w:t>
      </w:r>
    </w:p>
    <w:p w:rsidR="00A82179" w:rsidRPr="00341CF8" w:rsidRDefault="00A82179" w:rsidP="00194834">
      <w:pPr>
        <w:pStyle w:val="Prrafodelista"/>
        <w:jc w:val="both"/>
        <w:rPr>
          <w:rFonts w:ascii="Antique Olive" w:hAnsi="Antique Olive"/>
          <w:sz w:val="20"/>
          <w:szCs w:val="20"/>
        </w:rPr>
      </w:pPr>
      <w:r w:rsidRPr="00341CF8">
        <w:rPr>
          <w:rFonts w:ascii="Antique Olive" w:hAnsi="Antique Olive"/>
          <w:sz w:val="20"/>
          <w:szCs w:val="20"/>
        </w:rPr>
        <w:t xml:space="preserve">Este plan de acción está disponible en el link </w:t>
      </w:r>
      <w:hyperlink r:id="rId7" w:history="1">
        <w:r w:rsidRPr="00341CF8">
          <w:rPr>
            <w:rStyle w:val="Hipervnculo"/>
            <w:rFonts w:ascii="Antique Olive" w:hAnsi="Antique Olive"/>
            <w:sz w:val="20"/>
            <w:szCs w:val="20"/>
          </w:rPr>
          <w:t>https://www.dadep.gov.co/sites/default/files/sig/plan_de_accion_2019_mipg.pdf</w:t>
        </w:r>
      </w:hyperlink>
    </w:p>
    <w:p w:rsidR="007F4964" w:rsidRPr="00021A78" w:rsidRDefault="007F4964" w:rsidP="00194834">
      <w:pPr>
        <w:pStyle w:val="Prrafodelista"/>
        <w:jc w:val="both"/>
        <w:rPr>
          <w:rFonts w:ascii="Antique Olive" w:hAnsi="Antique Olive"/>
          <w:sz w:val="24"/>
        </w:rPr>
      </w:pPr>
    </w:p>
    <w:p w:rsidR="00021A78" w:rsidRDefault="00021A78" w:rsidP="00194834">
      <w:pPr>
        <w:pStyle w:val="Prrafodelista"/>
        <w:numPr>
          <w:ilvl w:val="0"/>
          <w:numId w:val="1"/>
        </w:numPr>
        <w:jc w:val="both"/>
        <w:rPr>
          <w:rFonts w:ascii="Antique Olive" w:hAnsi="Antique Olive"/>
          <w:b/>
          <w:sz w:val="24"/>
        </w:rPr>
      </w:pPr>
      <w:r w:rsidRPr="00021A78">
        <w:rPr>
          <w:rFonts w:ascii="Antique Olive" w:hAnsi="Antique Olive"/>
          <w:b/>
          <w:sz w:val="24"/>
        </w:rPr>
        <w:t>Creación de la Institucionalidad</w:t>
      </w:r>
    </w:p>
    <w:p w:rsidR="00A82179" w:rsidRPr="00341CF8" w:rsidRDefault="00A82179" w:rsidP="00194834">
      <w:pPr>
        <w:pStyle w:val="Prrafodelista"/>
        <w:jc w:val="both"/>
        <w:rPr>
          <w:rFonts w:ascii="Antique Olive" w:hAnsi="Antique Olive"/>
          <w:sz w:val="20"/>
          <w:szCs w:val="20"/>
        </w:rPr>
      </w:pPr>
      <w:r>
        <w:rPr>
          <w:rFonts w:ascii="Antique Olive" w:hAnsi="Antique Olive"/>
          <w:sz w:val="20"/>
          <w:szCs w:val="20"/>
        </w:rPr>
        <w:t xml:space="preserve">Con el fin de garantizar las condiciones de direccionamiento, que permitan la aplicación del Modelo  MIPG al interior de la Entidad, la Dirección expidió la resolución donde se define la Conformación del Comité Institucional de </w:t>
      </w:r>
      <w:r w:rsidR="00850AD2">
        <w:rPr>
          <w:rFonts w:ascii="Antique Olive" w:hAnsi="Antique Olive"/>
          <w:sz w:val="20"/>
          <w:szCs w:val="20"/>
        </w:rPr>
        <w:t>Gestión y Desempeño</w:t>
      </w:r>
      <w:r>
        <w:rPr>
          <w:rFonts w:ascii="Antique Olive" w:hAnsi="Antique Olive"/>
          <w:sz w:val="20"/>
          <w:szCs w:val="20"/>
        </w:rPr>
        <w:t xml:space="preserve">, </w:t>
      </w:r>
      <w:r w:rsidR="00194834" w:rsidRPr="00341CF8">
        <w:rPr>
          <w:rFonts w:ascii="Antique Olive" w:hAnsi="Antique Olive"/>
          <w:sz w:val="20"/>
          <w:szCs w:val="20"/>
        </w:rPr>
        <w:t xml:space="preserve">definiendo los responsables de implementar cada una de las </w:t>
      </w:r>
      <w:r w:rsidR="00850AD2">
        <w:rPr>
          <w:rFonts w:ascii="Antique Olive" w:hAnsi="Antique Olive"/>
          <w:sz w:val="20"/>
          <w:szCs w:val="20"/>
        </w:rPr>
        <w:t>dimensiones del modelo. Adicionalmente, a</w:t>
      </w:r>
      <w:r w:rsidR="00194834" w:rsidRPr="00341CF8">
        <w:rPr>
          <w:rFonts w:ascii="Antique Olive" w:hAnsi="Antique Olive"/>
          <w:sz w:val="20"/>
          <w:szCs w:val="20"/>
        </w:rPr>
        <w:t xml:space="preserve">l interior de este comité se tomarán las decisiones de múltiples comités que se agruparon tales como archivo, Sistema Integrado de Gestión, Capacitación, </w:t>
      </w:r>
      <w:r w:rsidR="00850AD2">
        <w:rPr>
          <w:rFonts w:ascii="Antique Olive" w:hAnsi="Antique Olive"/>
          <w:sz w:val="20"/>
          <w:szCs w:val="20"/>
        </w:rPr>
        <w:t xml:space="preserve">Incentivos, </w:t>
      </w:r>
      <w:r w:rsidR="00194834" w:rsidRPr="00341CF8">
        <w:rPr>
          <w:rFonts w:ascii="Antique Olive" w:hAnsi="Antique Olive"/>
          <w:sz w:val="20"/>
          <w:szCs w:val="20"/>
        </w:rPr>
        <w:t xml:space="preserve">Gobierno Digital, entre otros. Esta resolución se encuentra disponible en el sitio web </w:t>
      </w:r>
      <w:hyperlink r:id="rId8" w:history="1">
        <w:r w:rsidR="00194834" w:rsidRPr="00341CF8">
          <w:rPr>
            <w:rStyle w:val="Hipervnculo"/>
            <w:rFonts w:ascii="Antique Olive" w:hAnsi="Antique Olive"/>
            <w:sz w:val="20"/>
            <w:szCs w:val="20"/>
          </w:rPr>
          <w:t>https://www.dadep.gov.co/transparencia/sistema-integrado-de-gestion/mipg</w:t>
        </w:r>
      </w:hyperlink>
    </w:p>
    <w:p w:rsidR="00021A78" w:rsidRPr="00021A78" w:rsidRDefault="00021A78" w:rsidP="00194834">
      <w:pPr>
        <w:pStyle w:val="Prrafodelista"/>
        <w:jc w:val="both"/>
        <w:rPr>
          <w:rFonts w:ascii="Antique Olive" w:hAnsi="Antique Olive"/>
          <w:sz w:val="24"/>
        </w:rPr>
      </w:pPr>
    </w:p>
    <w:p w:rsidR="00021A78" w:rsidRPr="00021A78" w:rsidRDefault="00021A78" w:rsidP="00194834">
      <w:pPr>
        <w:pStyle w:val="Prrafodelista"/>
        <w:numPr>
          <w:ilvl w:val="0"/>
          <w:numId w:val="1"/>
        </w:numPr>
        <w:jc w:val="both"/>
        <w:rPr>
          <w:rFonts w:ascii="Antique Olive" w:hAnsi="Antique Olive"/>
          <w:b/>
          <w:sz w:val="24"/>
        </w:rPr>
      </w:pPr>
      <w:r w:rsidRPr="00021A78">
        <w:rPr>
          <w:rFonts w:ascii="Antique Olive" w:hAnsi="Antique Olive"/>
          <w:b/>
          <w:sz w:val="24"/>
        </w:rPr>
        <w:t>Medición del estado de la implementación del modelo MIPG</w:t>
      </w:r>
      <w:r w:rsidR="00204797">
        <w:rPr>
          <w:rFonts w:ascii="Antique Olive" w:hAnsi="Antique Olive"/>
          <w:b/>
          <w:sz w:val="24"/>
        </w:rPr>
        <w:t xml:space="preserve"> - FURAG</w:t>
      </w:r>
      <w:r w:rsidRPr="00021A78">
        <w:rPr>
          <w:rFonts w:ascii="Antique Olive" w:hAnsi="Antique Olive"/>
          <w:b/>
          <w:sz w:val="24"/>
        </w:rPr>
        <w:t>.</w:t>
      </w:r>
    </w:p>
    <w:p w:rsidR="00204797" w:rsidRDefault="00204797" w:rsidP="00194834">
      <w:pPr>
        <w:pStyle w:val="Prrafodelista"/>
        <w:jc w:val="both"/>
        <w:rPr>
          <w:rFonts w:ascii="Antique Olive" w:hAnsi="Antique Olive"/>
          <w:sz w:val="20"/>
          <w:szCs w:val="20"/>
        </w:rPr>
      </w:pPr>
      <w:r>
        <w:rPr>
          <w:rFonts w:ascii="Antique Olive" w:hAnsi="Antique Olive"/>
          <w:sz w:val="20"/>
          <w:szCs w:val="20"/>
        </w:rPr>
        <w:t xml:space="preserve">La entidad participó de la medición FURAG que busca medir el estado de la implementación de las </w:t>
      </w:r>
      <w:r w:rsidR="00194834">
        <w:rPr>
          <w:rFonts w:ascii="Antique Olive" w:hAnsi="Antique Olive"/>
          <w:sz w:val="20"/>
          <w:szCs w:val="20"/>
        </w:rPr>
        <w:t>siete</w:t>
      </w:r>
      <w:r>
        <w:rPr>
          <w:rFonts w:ascii="Antique Olive" w:hAnsi="Antique Olive"/>
          <w:sz w:val="20"/>
          <w:szCs w:val="20"/>
        </w:rPr>
        <w:t xml:space="preserve"> </w:t>
      </w:r>
      <w:r w:rsidR="00850AD2">
        <w:rPr>
          <w:rFonts w:ascii="Antique Olive" w:hAnsi="Antique Olive"/>
          <w:sz w:val="20"/>
          <w:szCs w:val="20"/>
        </w:rPr>
        <w:t>(</w:t>
      </w:r>
      <w:r>
        <w:rPr>
          <w:rFonts w:ascii="Antique Olive" w:hAnsi="Antique Olive"/>
          <w:sz w:val="20"/>
          <w:szCs w:val="20"/>
        </w:rPr>
        <w:t>7</w:t>
      </w:r>
      <w:r w:rsidR="00850AD2">
        <w:rPr>
          <w:rFonts w:ascii="Antique Olive" w:hAnsi="Antique Olive"/>
          <w:sz w:val="20"/>
          <w:szCs w:val="20"/>
        </w:rPr>
        <w:t>)</w:t>
      </w:r>
      <w:r>
        <w:rPr>
          <w:rFonts w:ascii="Antique Olive" w:hAnsi="Antique Olive"/>
          <w:sz w:val="20"/>
          <w:szCs w:val="20"/>
        </w:rPr>
        <w:t xml:space="preserve"> dimensiones del </w:t>
      </w:r>
      <w:r w:rsidR="00194834">
        <w:rPr>
          <w:rFonts w:ascii="Antique Olive" w:hAnsi="Antique Olive"/>
          <w:sz w:val="20"/>
          <w:szCs w:val="20"/>
        </w:rPr>
        <w:t>Modelo Integrado de Planeación y Gestión. Este cuestionario fue trabajado y diligenciado en conjunto con los líderes de cada una de las dimensiones del modelo. La entidad recibió el certificado de completitud del cuestionario.</w:t>
      </w:r>
    </w:p>
    <w:p w:rsidR="00194834" w:rsidRPr="00021A78" w:rsidRDefault="00194834" w:rsidP="00194834">
      <w:pPr>
        <w:pStyle w:val="Prrafodelista"/>
        <w:jc w:val="both"/>
        <w:rPr>
          <w:rFonts w:ascii="Antique Olive" w:hAnsi="Antique Olive"/>
          <w:sz w:val="24"/>
        </w:rPr>
      </w:pPr>
    </w:p>
    <w:p w:rsidR="00194834" w:rsidRDefault="00021A78" w:rsidP="00194834">
      <w:pPr>
        <w:pStyle w:val="Prrafodelista"/>
        <w:numPr>
          <w:ilvl w:val="0"/>
          <w:numId w:val="1"/>
        </w:numPr>
        <w:jc w:val="both"/>
        <w:rPr>
          <w:rFonts w:ascii="Antique Olive" w:hAnsi="Antique Olive"/>
          <w:b/>
          <w:sz w:val="24"/>
        </w:rPr>
      </w:pPr>
      <w:r w:rsidRPr="00262D01">
        <w:rPr>
          <w:rFonts w:ascii="Antique Olive" w:hAnsi="Antique Olive"/>
          <w:b/>
          <w:sz w:val="24"/>
        </w:rPr>
        <w:t>Creación del Banner en la página web  de la entidad</w:t>
      </w:r>
      <w:r w:rsidRPr="00262D01">
        <w:rPr>
          <w:rFonts w:ascii="Antique Olive" w:hAnsi="Antique Olive"/>
          <w:sz w:val="24"/>
        </w:rPr>
        <w:t>.</w:t>
      </w:r>
      <w:r w:rsidRPr="00262D01">
        <w:rPr>
          <w:rFonts w:ascii="Antique Olive" w:hAnsi="Antique Olive"/>
          <w:b/>
          <w:sz w:val="24"/>
        </w:rPr>
        <w:t xml:space="preserve"> </w:t>
      </w:r>
    </w:p>
    <w:p w:rsidR="00021A78" w:rsidRPr="00341CF8" w:rsidRDefault="00194834" w:rsidP="00194834">
      <w:pPr>
        <w:pStyle w:val="Prrafodelista"/>
        <w:jc w:val="both"/>
        <w:rPr>
          <w:sz w:val="20"/>
          <w:szCs w:val="20"/>
        </w:rPr>
      </w:pPr>
      <w:r>
        <w:rPr>
          <w:rFonts w:ascii="Antique Olive" w:hAnsi="Antique Olive"/>
          <w:sz w:val="20"/>
          <w:szCs w:val="20"/>
        </w:rPr>
        <w:t xml:space="preserve">Con el fin de divulgar los avances </w:t>
      </w:r>
      <w:r w:rsidRPr="00341CF8">
        <w:rPr>
          <w:rFonts w:ascii="Antique Olive" w:hAnsi="Antique Olive"/>
          <w:sz w:val="20"/>
          <w:szCs w:val="20"/>
        </w:rPr>
        <w:t>en la implementación de MIPG en el DADEP, la Oficina Asesora de Planeación realizó la creación del banner</w:t>
      </w:r>
      <w:r w:rsidR="00341CF8" w:rsidRPr="00341CF8">
        <w:rPr>
          <w:rFonts w:ascii="Antique Olive" w:hAnsi="Antique Olive"/>
          <w:sz w:val="20"/>
          <w:szCs w:val="20"/>
        </w:rPr>
        <w:t xml:space="preserve"> </w:t>
      </w:r>
      <w:hyperlink r:id="rId9" w:history="1">
        <w:r w:rsidR="00021A78" w:rsidRPr="00341CF8">
          <w:rPr>
            <w:rStyle w:val="Hipervnculo"/>
            <w:rFonts w:ascii="Antique Olive" w:hAnsi="Antique Olive"/>
            <w:sz w:val="20"/>
            <w:szCs w:val="20"/>
          </w:rPr>
          <w:t>https://www.dadep.gov.co/transparencia/sistema-integrado-de-gestion/mipg</w:t>
        </w:r>
      </w:hyperlink>
      <w:r w:rsidRPr="00341CF8">
        <w:rPr>
          <w:rStyle w:val="Hipervnculo"/>
          <w:rFonts w:ascii="Antique Olive" w:hAnsi="Antique Olive"/>
          <w:sz w:val="20"/>
          <w:szCs w:val="20"/>
        </w:rPr>
        <w:t xml:space="preserve"> </w:t>
      </w:r>
    </w:p>
    <w:p w:rsidR="00194834" w:rsidRDefault="00194834" w:rsidP="00194834">
      <w:pPr>
        <w:pStyle w:val="Prrafodelista"/>
        <w:jc w:val="both"/>
        <w:rPr>
          <w:sz w:val="24"/>
        </w:rPr>
      </w:pPr>
    </w:p>
    <w:p w:rsidR="00021A78" w:rsidRPr="00021A78" w:rsidRDefault="00021A78" w:rsidP="00194834">
      <w:pPr>
        <w:pStyle w:val="Prrafodelista"/>
        <w:numPr>
          <w:ilvl w:val="0"/>
          <w:numId w:val="1"/>
        </w:numPr>
        <w:jc w:val="both"/>
        <w:rPr>
          <w:rFonts w:ascii="Antique Olive" w:hAnsi="Antique Olive"/>
          <w:b/>
          <w:sz w:val="24"/>
        </w:rPr>
      </w:pPr>
      <w:r w:rsidRPr="00021A78">
        <w:rPr>
          <w:rFonts w:ascii="Antique Olive" w:hAnsi="Antique Olive"/>
          <w:b/>
          <w:sz w:val="24"/>
        </w:rPr>
        <w:t>Actualización de la Política</w:t>
      </w:r>
      <w:r w:rsidR="00341CF8">
        <w:rPr>
          <w:rFonts w:ascii="Antique Olive" w:hAnsi="Antique Olive"/>
          <w:b/>
          <w:sz w:val="24"/>
        </w:rPr>
        <w:t xml:space="preserve"> d</w:t>
      </w:r>
      <w:r w:rsidRPr="00021A78">
        <w:rPr>
          <w:rFonts w:ascii="Antique Olive" w:hAnsi="Antique Olive"/>
          <w:b/>
          <w:sz w:val="24"/>
        </w:rPr>
        <w:t>e</w:t>
      </w:r>
      <w:r w:rsidR="00341CF8">
        <w:rPr>
          <w:rFonts w:ascii="Antique Olive" w:hAnsi="Antique Olive"/>
          <w:b/>
          <w:sz w:val="24"/>
        </w:rPr>
        <w:t xml:space="preserve"> Gestión del</w:t>
      </w:r>
      <w:r w:rsidRPr="00021A78">
        <w:rPr>
          <w:rFonts w:ascii="Antique Olive" w:hAnsi="Antique Olive"/>
          <w:b/>
          <w:sz w:val="24"/>
        </w:rPr>
        <w:t xml:space="preserve"> Riesgo de la Entidad.</w:t>
      </w:r>
    </w:p>
    <w:p w:rsidR="005137C7" w:rsidRPr="00262D01" w:rsidRDefault="005137C7" w:rsidP="005137C7">
      <w:pPr>
        <w:pStyle w:val="Prrafodelista"/>
        <w:jc w:val="both"/>
        <w:rPr>
          <w:rFonts w:ascii="Antique Olive" w:hAnsi="Antique Olive"/>
          <w:b/>
          <w:sz w:val="24"/>
        </w:rPr>
      </w:pPr>
      <w:r>
        <w:rPr>
          <w:rFonts w:ascii="Antique Olive" w:hAnsi="Antique Olive"/>
          <w:sz w:val="20"/>
          <w:szCs w:val="20"/>
        </w:rPr>
        <w:t xml:space="preserve">La Entidad, de acuerdo a la actualización de directrices emitidas tanto por el Departamento Administrativo de la Función Pública DAFP, así como el </w:t>
      </w:r>
      <w:r w:rsidR="00850AD2">
        <w:rPr>
          <w:rFonts w:ascii="Antique Olive" w:hAnsi="Antique Olive"/>
          <w:sz w:val="20"/>
          <w:szCs w:val="20"/>
        </w:rPr>
        <w:t>modelo</w:t>
      </w:r>
      <w:r>
        <w:rPr>
          <w:rFonts w:ascii="Antique Olive" w:hAnsi="Antique Olive"/>
          <w:sz w:val="20"/>
          <w:szCs w:val="20"/>
        </w:rPr>
        <w:t xml:space="preserve"> MIPG, actualizó su política de gestión de riesgos</w:t>
      </w:r>
      <w:r w:rsidR="00341CF8">
        <w:rPr>
          <w:rFonts w:ascii="Antique Olive" w:hAnsi="Antique Olive"/>
          <w:sz w:val="20"/>
          <w:szCs w:val="20"/>
        </w:rPr>
        <w:t xml:space="preserve">. </w:t>
      </w:r>
      <w:r>
        <w:rPr>
          <w:rFonts w:ascii="Antique Olive" w:hAnsi="Antique Olive"/>
          <w:sz w:val="20"/>
          <w:szCs w:val="20"/>
        </w:rPr>
        <w:t xml:space="preserve">Esta política fue avalada </w:t>
      </w:r>
      <w:r w:rsidR="00341CF8">
        <w:rPr>
          <w:rFonts w:ascii="Antique Olive" w:hAnsi="Antique Olive"/>
          <w:sz w:val="20"/>
          <w:szCs w:val="20"/>
        </w:rPr>
        <w:t xml:space="preserve">por la Dirección de la Entidad y fue publicada en el link </w:t>
      </w:r>
      <w:hyperlink r:id="rId10" w:history="1">
        <w:r w:rsidR="00341CF8" w:rsidRPr="00F607D3">
          <w:rPr>
            <w:rStyle w:val="Hipervnculo"/>
            <w:rFonts w:ascii="Antique Olive" w:hAnsi="Antique Olive"/>
            <w:sz w:val="20"/>
            <w:szCs w:val="20"/>
          </w:rPr>
          <w:t>https://www.dadep.gov.co/transparencia/sistema-integrado-de-gestion/gestion-riesgos/politica-gestion-riesgos</w:t>
        </w:r>
      </w:hyperlink>
      <w:r w:rsidR="00341CF8">
        <w:rPr>
          <w:rFonts w:ascii="Antique Olive" w:hAnsi="Antique Olive"/>
          <w:sz w:val="20"/>
          <w:szCs w:val="20"/>
        </w:rPr>
        <w:t xml:space="preserve"> </w:t>
      </w:r>
    </w:p>
    <w:p w:rsidR="005137C7" w:rsidRPr="00021A78" w:rsidRDefault="005137C7" w:rsidP="00194834">
      <w:pPr>
        <w:pStyle w:val="Prrafodelista"/>
        <w:jc w:val="both"/>
        <w:rPr>
          <w:rFonts w:ascii="Antique Olive" w:hAnsi="Antique Olive"/>
          <w:sz w:val="24"/>
        </w:rPr>
      </w:pPr>
    </w:p>
    <w:p w:rsidR="00021A78" w:rsidRPr="00021A78" w:rsidRDefault="00021A78" w:rsidP="00194834">
      <w:pPr>
        <w:pStyle w:val="Prrafodelista"/>
        <w:numPr>
          <w:ilvl w:val="0"/>
          <w:numId w:val="1"/>
        </w:numPr>
        <w:jc w:val="both"/>
        <w:rPr>
          <w:rFonts w:ascii="Antique Olive" w:hAnsi="Antique Olive"/>
          <w:b/>
          <w:sz w:val="24"/>
        </w:rPr>
      </w:pPr>
      <w:r w:rsidRPr="00021A78">
        <w:rPr>
          <w:rFonts w:ascii="Antique Olive" w:hAnsi="Antique Olive"/>
          <w:b/>
          <w:sz w:val="24"/>
        </w:rPr>
        <w:t xml:space="preserve">Creación de herramientas para el reporte de la meta </w:t>
      </w:r>
      <w:r w:rsidRPr="00021A78">
        <w:rPr>
          <w:rFonts w:ascii="Antique Olive" w:hAnsi="Antique Olive"/>
          <w:b/>
          <w:i/>
          <w:sz w:val="24"/>
        </w:rPr>
        <w:t xml:space="preserve">Gestionar el 100% </w:t>
      </w:r>
      <w:r w:rsidR="007F4964">
        <w:rPr>
          <w:rFonts w:ascii="Antique Olive" w:hAnsi="Antique Olive"/>
          <w:b/>
          <w:i/>
          <w:sz w:val="24"/>
        </w:rPr>
        <w:t>del plan de acción y sostenibilidad del SIGD-MIPG</w:t>
      </w:r>
    </w:p>
    <w:p w:rsidR="00194834" w:rsidRDefault="00341CF8" w:rsidP="00194834">
      <w:pPr>
        <w:pStyle w:val="Prrafodelista"/>
        <w:jc w:val="both"/>
        <w:rPr>
          <w:rFonts w:ascii="Antique Olive" w:hAnsi="Antique Olive"/>
          <w:sz w:val="20"/>
          <w:szCs w:val="20"/>
        </w:rPr>
      </w:pPr>
      <w:r>
        <w:rPr>
          <w:rFonts w:ascii="Antique Olive" w:hAnsi="Antique Olive"/>
          <w:sz w:val="20"/>
          <w:szCs w:val="20"/>
        </w:rPr>
        <w:t>L</w:t>
      </w:r>
      <w:r>
        <w:rPr>
          <w:rFonts w:ascii="Antique Olive" w:hAnsi="Antique Olive"/>
          <w:sz w:val="20"/>
          <w:szCs w:val="20"/>
        </w:rPr>
        <w:t xml:space="preserve">a Oficina Asesora de Planeación desarrollo el formato denominado </w:t>
      </w:r>
      <w:r w:rsidRPr="00341CF8">
        <w:rPr>
          <w:rFonts w:ascii="Antique Olive" w:hAnsi="Antique Olive"/>
          <w:b/>
          <w:i/>
          <w:sz w:val="20"/>
          <w:szCs w:val="20"/>
        </w:rPr>
        <w:t xml:space="preserve">formato de reporte de avances de metas compartidas </w:t>
      </w:r>
      <w:r>
        <w:rPr>
          <w:rFonts w:ascii="Antique Olive" w:hAnsi="Antique Olive"/>
          <w:sz w:val="20"/>
          <w:szCs w:val="20"/>
        </w:rPr>
        <w:t xml:space="preserve">con el fin de consolidar la gestión de las diferentes áreas que le aportan a la meta de </w:t>
      </w:r>
      <w:r w:rsidRPr="00341CF8">
        <w:rPr>
          <w:rFonts w:ascii="Antique Olive" w:hAnsi="Antique Olive"/>
          <w:sz w:val="20"/>
          <w:szCs w:val="20"/>
        </w:rPr>
        <w:t>Gestionar el 100% del plan de acción y sostenibilidad del SIGD-MIPG</w:t>
      </w:r>
      <w:r>
        <w:rPr>
          <w:rFonts w:ascii="Antique Olive" w:hAnsi="Antique Olive"/>
          <w:sz w:val="20"/>
          <w:szCs w:val="20"/>
        </w:rPr>
        <w:t>.</w:t>
      </w:r>
    </w:p>
    <w:p w:rsidR="00341CF8" w:rsidRPr="00021A78" w:rsidRDefault="00341CF8" w:rsidP="00194834">
      <w:pPr>
        <w:pStyle w:val="Prrafodelista"/>
        <w:jc w:val="both"/>
        <w:rPr>
          <w:rFonts w:ascii="Antique Olive" w:hAnsi="Antique Olive"/>
          <w:i/>
          <w:sz w:val="24"/>
        </w:rPr>
      </w:pPr>
    </w:p>
    <w:p w:rsidR="00021A78" w:rsidRDefault="00021A78" w:rsidP="00194834">
      <w:pPr>
        <w:pStyle w:val="Prrafodelista"/>
        <w:numPr>
          <w:ilvl w:val="0"/>
          <w:numId w:val="1"/>
        </w:numPr>
        <w:jc w:val="both"/>
        <w:rPr>
          <w:rFonts w:ascii="Antique Olive" w:hAnsi="Antique Olive"/>
          <w:b/>
          <w:sz w:val="24"/>
        </w:rPr>
      </w:pPr>
      <w:r w:rsidRPr="00021A78">
        <w:rPr>
          <w:rFonts w:ascii="Antique Olive" w:hAnsi="Antique Olive"/>
          <w:b/>
          <w:sz w:val="24"/>
        </w:rPr>
        <w:lastRenderedPageBreak/>
        <w:t>Sensibilización a la alta dirección sobre la importancia de aplicación del modelo en la Entidad.</w:t>
      </w:r>
    </w:p>
    <w:p w:rsidR="00341CF8" w:rsidRDefault="00341CF8" w:rsidP="00194834">
      <w:pPr>
        <w:pStyle w:val="Prrafodelista"/>
        <w:jc w:val="both"/>
        <w:rPr>
          <w:rFonts w:ascii="Antique Olive" w:hAnsi="Antique Olive"/>
          <w:sz w:val="20"/>
          <w:szCs w:val="20"/>
        </w:rPr>
      </w:pPr>
      <w:r>
        <w:rPr>
          <w:rFonts w:ascii="Antique Olive" w:hAnsi="Antique Olive"/>
          <w:sz w:val="20"/>
          <w:szCs w:val="20"/>
        </w:rPr>
        <w:t xml:space="preserve">La Oficina Asesora de Planeación coordinó con la Secretaría General del Distrito, una </w:t>
      </w:r>
      <w:r w:rsidR="00160E5D">
        <w:rPr>
          <w:rFonts w:ascii="Antique Olive" w:hAnsi="Antique Olive"/>
          <w:sz w:val="20"/>
          <w:szCs w:val="20"/>
        </w:rPr>
        <w:t>capacitación</w:t>
      </w:r>
      <w:r>
        <w:rPr>
          <w:rFonts w:ascii="Antique Olive" w:hAnsi="Antique Olive"/>
          <w:sz w:val="20"/>
          <w:szCs w:val="20"/>
        </w:rPr>
        <w:t xml:space="preserve"> sobre </w:t>
      </w:r>
      <w:r w:rsidRPr="00341CF8">
        <w:rPr>
          <w:rFonts w:ascii="Antique Olive" w:hAnsi="Antique Olive"/>
          <w:sz w:val="20"/>
          <w:szCs w:val="20"/>
        </w:rPr>
        <w:t>la importancia de apli</w:t>
      </w:r>
      <w:r>
        <w:rPr>
          <w:rFonts w:ascii="Antique Olive" w:hAnsi="Antique Olive"/>
          <w:sz w:val="20"/>
          <w:szCs w:val="20"/>
        </w:rPr>
        <w:t xml:space="preserve">cación del modelo en la Entidad, la cual fue </w:t>
      </w:r>
      <w:r w:rsidR="00160E5D">
        <w:rPr>
          <w:rFonts w:ascii="Antique Olive" w:hAnsi="Antique Olive"/>
          <w:sz w:val="20"/>
          <w:szCs w:val="20"/>
        </w:rPr>
        <w:t>presentada</w:t>
      </w:r>
      <w:r>
        <w:rPr>
          <w:rFonts w:ascii="Antique Olive" w:hAnsi="Antique Olive"/>
          <w:sz w:val="20"/>
          <w:szCs w:val="20"/>
        </w:rPr>
        <w:t xml:space="preserve"> en el Comité Institucional de Control Interno por parte de los asesores </w:t>
      </w:r>
      <w:r w:rsidRPr="00341CF8">
        <w:rPr>
          <w:rFonts w:ascii="Antique Olive" w:hAnsi="Antique Olive"/>
          <w:sz w:val="20"/>
          <w:szCs w:val="20"/>
        </w:rPr>
        <w:t>Gerardo Duque y Eduardo Santos</w:t>
      </w:r>
      <w:r>
        <w:rPr>
          <w:rFonts w:ascii="Antique Olive" w:hAnsi="Antique Olive"/>
          <w:sz w:val="20"/>
          <w:szCs w:val="20"/>
        </w:rPr>
        <w:t xml:space="preserve"> el pasado jueves 31 de enero de 2019.</w:t>
      </w:r>
    </w:p>
    <w:p w:rsidR="00341CF8" w:rsidRDefault="00341CF8" w:rsidP="00194834">
      <w:pPr>
        <w:pStyle w:val="Prrafodelista"/>
        <w:jc w:val="both"/>
        <w:rPr>
          <w:rFonts w:ascii="Antique Olive" w:hAnsi="Antique Olive"/>
          <w:sz w:val="20"/>
          <w:szCs w:val="20"/>
        </w:rPr>
      </w:pPr>
    </w:p>
    <w:p w:rsidR="00341CF8" w:rsidRDefault="00341CF8" w:rsidP="00341CF8">
      <w:pPr>
        <w:pStyle w:val="Prrafodelista"/>
        <w:numPr>
          <w:ilvl w:val="0"/>
          <w:numId w:val="1"/>
        </w:numPr>
        <w:jc w:val="both"/>
        <w:rPr>
          <w:rFonts w:ascii="Antique Olive" w:hAnsi="Antique Olive"/>
          <w:b/>
          <w:sz w:val="24"/>
        </w:rPr>
      </w:pPr>
      <w:r w:rsidRPr="00021A78">
        <w:rPr>
          <w:rFonts w:ascii="Antique Olive" w:hAnsi="Antique Olive"/>
          <w:b/>
          <w:sz w:val="24"/>
        </w:rPr>
        <w:t>Reporte del Estado del Modelo, en el Informe pormenorizado del Sistema de Control Interno SCI.</w:t>
      </w:r>
    </w:p>
    <w:p w:rsidR="00341CF8" w:rsidRPr="00262D01" w:rsidRDefault="00341CF8" w:rsidP="00341CF8">
      <w:pPr>
        <w:pStyle w:val="Prrafodelista"/>
        <w:jc w:val="both"/>
        <w:rPr>
          <w:rFonts w:ascii="Antique Olive" w:hAnsi="Antique Olive"/>
          <w:b/>
          <w:sz w:val="24"/>
        </w:rPr>
      </w:pPr>
      <w:r>
        <w:rPr>
          <w:rFonts w:ascii="Antique Olive" w:hAnsi="Antique Olive"/>
          <w:sz w:val="20"/>
          <w:szCs w:val="20"/>
        </w:rPr>
        <w:t xml:space="preserve">La Oficina Asesora de Planeación, informó a la Oficina de Control Interno, las acciones desarrolladas para la implementación de MIPG, en el periodo comprendido entre noviembre de 2018 y febrero de 2019. </w:t>
      </w:r>
    </w:p>
    <w:p w:rsidR="00262D01" w:rsidRPr="00262D01" w:rsidRDefault="00262D01" w:rsidP="00194834">
      <w:pPr>
        <w:pStyle w:val="Prrafodelista"/>
        <w:jc w:val="both"/>
        <w:rPr>
          <w:rFonts w:ascii="Antique Olive" w:hAnsi="Antique Olive"/>
          <w:b/>
          <w:sz w:val="24"/>
        </w:rPr>
      </w:pPr>
    </w:p>
    <w:p w:rsidR="00262D01" w:rsidRDefault="00262D01" w:rsidP="00194834">
      <w:pPr>
        <w:pStyle w:val="Prrafodelista"/>
        <w:numPr>
          <w:ilvl w:val="0"/>
          <w:numId w:val="1"/>
        </w:numPr>
        <w:jc w:val="both"/>
        <w:rPr>
          <w:rFonts w:ascii="Antique Olive" w:hAnsi="Antique Olive"/>
          <w:b/>
          <w:sz w:val="24"/>
        </w:rPr>
      </w:pPr>
      <w:r>
        <w:rPr>
          <w:rFonts w:ascii="Antique Olive" w:hAnsi="Antique Olive"/>
          <w:b/>
          <w:sz w:val="24"/>
        </w:rPr>
        <w:t>Actualización de los Planes Integrados de la Entidad</w:t>
      </w:r>
    </w:p>
    <w:p w:rsidR="005137C7" w:rsidRDefault="005137C7" w:rsidP="005137C7">
      <w:pPr>
        <w:pStyle w:val="Prrafodelista"/>
        <w:jc w:val="both"/>
        <w:rPr>
          <w:rFonts w:ascii="Antique Olive" w:hAnsi="Antique Olive"/>
          <w:b/>
          <w:sz w:val="24"/>
        </w:rPr>
      </w:pPr>
      <w:r>
        <w:rPr>
          <w:rFonts w:ascii="Antique Olive" w:hAnsi="Antique Olive"/>
          <w:sz w:val="20"/>
          <w:szCs w:val="20"/>
        </w:rPr>
        <w:t>En cumplimiento del decreto 612 de 2018, actualizó y publicó el pasado 31 de enero de 2019, la actualización de los Planes Integrados al Plan de Acción, con el fin de dar a conocer a ciudadanía la plataforma de planeación estratégica y de direccionamiento que brinda las directrices para el desarrollo de la gestión de la Entidad.</w:t>
      </w:r>
      <w:bookmarkStart w:id="0" w:name="_GoBack"/>
      <w:bookmarkEnd w:id="0"/>
    </w:p>
    <w:p w:rsidR="005137C7" w:rsidRPr="00262D01" w:rsidRDefault="005137C7" w:rsidP="00194834">
      <w:pPr>
        <w:pStyle w:val="Prrafodelista"/>
        <w:jc w:val="both"/>
        <w:rPr>
          <w:rFonts w:ascii="Antique Olive" w:hAnsi="Antique Olive"/>
          <w:b/>
          <w:sz w:val="24"/>
        </w:rPr>
      </w:pPr>
    </w:p>
    <w:p w:rsidR="00262D01" w:rsidRDefault="00262D01" w:rsidP="00194834">
      <w:pPr>
        <w:jc w:val="both"/>
        <w:rPr>
          <w:rFonts w:ascii="Antique Olive" w:hAnsi="Antique Olive"/>
          <w:sz w:val="24"/>
        </w:rPr>
      </w:pPr>
      <w:r>
        <w:rPr>
          <w:rFonts w:ascii="Antique Olive" w:hAnsi="Antique Olive"/>
          <w:sz w:val="24"/>
        </w:rPr>
        <w:t xml:space="preserve">Todas estas acciones buscan fortalecer la generación de valor público a nuestros grupos de valor, </w:t>
      </w:r>
      <w:r w:rsidRPr="00262D01">
        <w:rPr>
          <w:rFonts w:ascii="Antique Olive" w:hAnsi="Antique Olive"/>
          <w:sz w:val="24"/>
        </w:rPr>
        <w:t>a través de medidas como</w:t>
      </w:r>
      <w:r>
        <w:rPr>
          <w:rFonts w:ascii="Antique Olive" w:hAnsi="Antique Olive"/>
          <w:sz w:val="24"/>
        </w:rPr>
        <w:t xml:space="preserve"> </w:t>
      </w:r>
      <w:r w:rsidRPr="00262D01">
        <w:rPr>
          <w:rFonts w:ascii="Antique Olive" w:hAnsi="Antique Olive"/>
          <w:sz w:val="24"/>
        </w:rPr>
        <w:t xml:space="preserve">fortalecer el talento humano, </w:t>
      </w:r>
      <w:r>
        <w:rPr>
          <w:rFonts w:ascii="Antique Olive" w:hAnsi="Antique Olive"/>
          <w:sz w:val="24"/>
        </w:rPr>
        <w:t xml:space="preserve">simplificar la gestión de la entidad, </w:t>
      </w:r>
      <w:r w:rsidRPr="00262D01">
        <w:rPr>
          <w:rFonts w:ascii="Antique Olive" w:hAnsi="Antique Olive"/>
          <w:sz w:val="24"/>
        </w:rPr>
        <w:t>promover el desarrollo de una</w:t>
      </w:r>
      <w:r>
        <w:rPr>
          <w:rFonts w:ascii="Antique Olive" w:hAnsi="Antique Olive"/>
          <w:sz w:val="24"/>
        </w:rPr>
        <w:t xml:space="preserve"> cultura organizacional sólida,</w:t>
      </w:r>
      <w:r w:rsidRPr="00262D01">
        <w:rPr>
          <w:rFonts w:ascii="Antique Olive" w:hAnsi="Antique Olive"/>
          <w:sz w:val="24"/>
        </w:rPr>
        <w:t xml:space="preserve"> la promoción de la participación ciudadana, entre otros</w:t>
      </w:r>
      <w:r w:rsidR="005137C7">
        <w:rPr>
          <w:rFonts w:ascii="Antique Olive" w:hAnsi="Antique Olive"/>
          <w:sz w:val="24"/>
        </w:rPr>
        <w:t>.</w:t>
      </w:r>
    </w:p>
    <w:p w:rsidR="00850AD2" w:rsidRDefault="00850AD2" w:rsidP="00194834">
      <w:pPr>
        <w:jc w:val="both"/>
        <w:rPr>
          <w:rFonts w:ascii="Antique Olive" w:hAnsi="Antique Olive"/>
          <w:sz w:val="24"/>
        </w:rPr>
      </w:pPr>
    </w:p>
    <w:p w:rsidR="00262D01" w:rsidRPr="00160E5D" w:rsidRDefault="00262D01" w:rsidP="00262D01">
      <w:pPr>
        <w:jc w:val="center"/>
        <w:rPr>
          <w:rFonts w:ascii="Antique Olive" w:hAnsi="Antique Olive"/>
          <w:b/>
          <w:i/>
          <w:color w:val="FFFFFF" w:themeColor="background1"/>
          <w:sz w:val="32"/>
        </w:rPr>
      </w:pPr>
      <w:r w:rsidRPr="00160E5D">
        <w:rPr>
          <w:rFonts w:ascii="Antique Olive" w:hAnsi="Antique Olive"/>
          <w:b/>
          <w:i/>
          <w:color w:val="FFFFFF" w:themeColor="background1"/>
          <w:sz w:val="32"/>
        </w:rPr>
        <w:t>¡La implementación es un reto de todos!</w:t>
      </w:r>
    </w:p>
    <w:sectPr w:rsidR="00262D01" w:rsidRPr="00160E5D" w:rsidSect="00194834">
      <w:headerReference w:type="default" r:id="rId11"/>
      <w:pgSz w:w="12240" w:h="15840"/>
      <w:pgMar w:top="567" w:right="567" w:bottom="567" w:left="567" w:header="153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4834" w:rsidRDefault="00194834" w:rsidP="00194834">
      <w:pPr>
        <w:spacing w:after="0" w:line="240" w:lineRule="auto"/>
      </w:pPr>
      <w:r>
        <w:separator/>
      </w:r>
    </w:p>
  </w:endnote>
  <w:endnote w:type="continuationSeparator" w:id="0">
    <w:p w:rsidR="00194834" w:rsidRDefault="00194834" w:rsidP="00194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ntique Olive">
    <w:panose1 w:val="020B0603020204030204"/>
    <w:charset w:val="00"/>
    <w:family w:val="swiss"/>
    <w:pitch w:val="variable"/>
    <w:sig w:usb0="00000007" w:usb1="00000000" w:usb2="00000000" w:usb3="00000000" w:csb0="00000093"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4834" w:rsidRDefault="00194834" w:rsidP="00194834">
      <w:pPr>
        <w:spacing w:after="0" w:line="240" w:lineRule="auto"/>
      </w:pPr>
      <w:r>
        <w:separator/>
      </w:r>
    </w:p>
  </w:footnote>
  <w:footnote w:type="continuationSeparator" w:id="0">
    <w:p w:rsidR="00194834" w:rsidRDefault="00194834" w:rsidP="001948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834" w:rsidRDefault="00194834">
    <w:pPr>
      <w:pStyle w:val="Encabezado"/>
    </w:pPr>
    <w:r w:rsidRPr="00262D01">
      <w:rPr>
        <w:rFonts w:ascii="Antique Olive" w:hAnsi="Antique Olive"/>
        <w:noProof/>
        <w:sz w:val="24"/>
      </w:rPr>
      <mc:AlternateContent>
        <mc:Choice Requires="wps">
          <w:drawing>
            <wp:anchor distT="45720" distB="45720" distL="114300" distR="114300" simplePos="0" relativeHeight="251662336" behindDoc="0" locked="0" layoutInCell="1" allowOverlap="1" wp14:anchorId="11E966B5" wp14:editId="4215D6E4">
              <wp:simplePos x="0" y="0"/>
              <wp:positionH relativeFrom="margin">
                <wp:posOffset>1734820</wp:posOffset>
              </wp:positionH>
              <wp:positionV relativeFrom="paragraph">
                <wp:posOffset>-737870</wp:posOffset>
              </wp:positionV>
              <wp:extent cx="3838575" cy="1404620"/>
              <wp:effectExtent l="0" t="0" r="0" b="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1404620"/>
                      </a:xfrm>
                      <a:prstGeom prst="rect">
                        <a:avLst/>
                      </a:prstGeom>
                      <a:noFill/>
                      <a:ln w="9525">
                        <a:noFill/>
                        <a:miter lim="800000"/>
                        <a:headEnd/>
                        <a:tailEnd/>
                      </a:ln>
                    </wps:spPr>
                    <wps:txbx>
                      <w:txbxContent>
                        <w:p w:rsidR="00194834" w:rsidRPr="005A0397" w:rsidRDefault="00194834" w:rsidP="00194834">
                          <w:pPr>
                            <w:spacing w:after="0"/>
                            <w:jc w:val="center"/>
                            <w:rPr>
                              <w:rFonts w:ascii="Lucida Sans" w:hAnsi="Lucida Sans"/>
                              <w:b/>
                              <w:color w:val="222A35" w:themeColor="text2" w:themeShade="80"/>
                              <w:sz w:val="28"/>
                              <w:szCs w:val="28"/>
                              <w14:shadow w14:blurRad="50800" w14:dist="38100" w14:dir="2700000" w14:sx="100000" w14:sy="100000" w14:kx="0" w14:ky="0" w14:algn="tl">
                                <w14:schemeClr w14:val="bg1">
                                  <w14:alpha w14:val="60000"/>
                                </w14:schemeClr>
                              </w14:shadow>
                            </w:rPr>
                          </w:pPr>
                          <w:r w:rsidRPr="005A0397">
                            <w:rPr>
                              <w:rFonts w:ascii="Lucida Sans" w:hAnsi="Lucida Sans"/>
                              <w:b/>
                              <w:color w:val="222A35" w:themeColor="text2" w:themeShade="80"/>
                              <w:sz w:val="28"/>
                              <w:szCs w:val="28"/>
                              <w14:shadow w14:blurRad="50800" w14:dist="38100" w14:dir="2700000" w14:sx="100000" w14:sy="100000" w14:kx="0" w14:ky="0" w14:algn="tl">
                                <w14:schemeClr w14:val="bg1">
                                  <w14:alpha w14:val="60000"/>
                                </w14:schemeClr>
                              </w14:shadow>
                            </w:rPr>
                            <w:t xml:space="preserve">Informe trimestral sobre el estado de la implementación de MIPG en el DADEP </w:t>
                          </w:r>
                        </w:p>
                        <w:p w:rsidR="00194834" w:rsidRPr="005A0397" w:rsidRDefault="00194834" w:rsidP="00194834">
                          <w:pPr>
                            <w:spacing w:after="0"/>
                            <w:jc w:val="center"/>
                            <w:rPr>
                              <w:rFonts w:ascii="Lucida Sans" w:hAnsi="Lucida Sans"/>
                              <w:b/>
                              <w:color w:val="222A35" w:themeColor="text2" w:themeShade="80"/>
                              <w:sz w:val="24"/>
                              <w:szCs w:val="26"/>
                              <w14:shadow w14:blurRad="50800" w14:dist="38100" w14:dir="2700000" w14:sx="100000" w14:sy="100000" w14:kx="0" w14:ky="0" w14:algn="tl">
                                <w14:schemeClr w14:val="bg1">
                                  <w14:alpha w14:val="60000"/>
                                </w14:schemeClr>
                              </w14:shadow>
                            </w:rPr>
                          </w:pPr>
                          <w:r w:rsidRPr="005A0397">
                            <w:rPr>
                              <w:rFonts w:ascii="Lucida Sans" w:hAnsi="Lucida Sans"/>
                              <w:color w:val="222A35" w:themeColor="text2" w:themeShade="80"/>
                              <w:sz w:val="24"/>
                              <w:szCs w:val="26"/>
                              <w14:shadow w14:blurRad="50800" w14:dist="38100" w14:dir="2700000" w14:sx="100000" w14:sy="100000" w14:kx="0" w14:ky="0" w14:algn="tl">
                                <w14:schemeClr w14:val="bg1">
                                  <w14:alpha w14:val="60000"/>
                                </w14:schemeClr>
                              </w14:shadow>
                            </w:rPr>
                            <w:t>1er trimestre de 2019 (Enero-Marzo)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1E966B5" id="_x0000_t202" coordsize="21600,21600" o:spt="202" path="m,l,21600r21600,l21600,xe">
              <v:stroke joinstyle="miter"/>
              <v:path gradientshapeok="t" o:connecttype="rect"/>
            </v:shapetype>
            <v:shape id="Cuadro de texto 2" o:spid="_x0000_s1026" type="#_x0000_t202" style="position:absolute;margin-left:136.6pt;margin-top:-58.1pt;width:302.25pt;height:110.6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" filled="f" stroked="f">
              <v:textbox style="mso-fit-shape-to-text:t">
                <w:txbxContent>
                  <w:p w:rsidR="00194834" w:rsidRPr="005A0397" w:rsidRDefault="00194834" w:rsidP="00194834">
                    <w:pPr>
                      <w:spacing w:after="0"/>
                      <w:jc w:val="center"/>
                      <w:rPr>
                        <w:rFonts w:ascii="Lucida Sans" w:hAnsi="Lucida Sans"/>
                        <w:b/>
                        <w:color w:val="222A35" w:themeColor="text2" w:themeShade="80"/>
                        <w:sz w:val="28"/>
                        <w:szCs w:val="28"/>
                        <w14:shadow w14:blurRad="50800" w14:dist="38100" w14:dir="2700000" w14:sx="100000" w14:sy="100000" w14:kx="0" w14:ky="0" w14:algn="tl">
                          <w14:schemeClr w14:val="bg1">
                            <w14:alpha w14:val="60000"/>
                          </w14:schemeClr>
                        </w14:shadow>
                      </w:rPr>
                    </w:pPr>
                    <w:r w:rsidRPr="005A0397">
                      <w:rPr>
                        <w:rFonts w:ascii="Lucida Sans" w:hAnsi="Lucida Sans"/>
                        <w:b/>
                        <w:color w:val="222A35" w:themeColor="text2" w:themeShade="80"/>
                        <w:sz w:val="28"/>
                        <w:szCs w:val="28"/>
                        <w14:shadow w14:blurRad="50800" w14:dist="38100" w14:dir="2700000" w14:sx="100000" w14:sy="100000" w14:kx="0" w14:ky="0" w14:algn="tl">
                          <w14:schemeClr w14:val="bg1">
                            <w14:alpha w14:val="60000"/>
                          </w14:schemeClr>
                        </w14:shadow>
                      </w:rPr>
                      <w:t xml:space="preserve">Informe trimestral sobre el estado de la implementación de MIPG en el DADEP </w:t>
                    </w:r>
                  </w:p>
                  <w:p w:rsidR="00194834" w:rsidRPr="005A0397" w:rsidRDefault="00194834" w:rsidP="00194834">
                    <w:pPr>
                      <w:spacing w:after="0"/>
                      <w:jc w:val="center"/>
                      <w:rPr>
                        <w:rFonts w:ascii="Lucida Sans" w:hAnsi="Lucida Sans"/>
                        <w:b/>
                        <w:color w:val="222A35" w:themeColor="text2" w:themeShade="80"/>
                        <w:sz w:val="24"/>
                        <w:szCs w:val="26"/>
                        <w14:shadow w14:blurRad="50800" w14:dist="38100" w14:dir="2700000" w14:sx="100000" w14:sy="100000" w14:kx="0" w14:ky="0" w14:algn="tl">
                          <w14:schemeClr w14:val="bg1">
                            <w14:alpha w14:val="60000"/>
                          </w14:schemeClr>
                        </w14:shadow>
                      </w:rPr>
                    </w:pPr>
                    <w:r w:rsidRPr="005A0397">
                      <w:rPr>
                        <w:rFonts w:ascii="Lucida Sans" w:hAnsi="Lucida Sans"/>
                        <w:color w:val="222A35" w:themeColor="text2" w:themeShade="80"/>
                        <w:sz w:val="24"/>
                        <w:szCs w:val="26"/>
                        <w14:shadow w14:blurRad="50800" w14:dist="38100" w14:dir="2700000" w14:sx="100000" w14:sy="100000" w14:kx="0" w14:ky="0" w14:algn="tl">
                          <w14:schemeClr w14:val="bg1">
                            <w14:alpha w14:val="60000"/>
                          </w14:schemeClr>
                        </w14:shadow>
                      </w:rPr>
                      <w:t>1er trimestre de 2019 (Enero-Marzo)</w:t>
                    </w:r>
                  </w:p>
                </w:txbxContent>
              </v:textbox>
              <w10:wrap type="square" anchorx="margin"/>
            </v:shape>
          </w:pict>
        </mc:Fallback>
      </mc:AlternateContent>
    </w:r>
    <w:r w:rsidRPr="00262D01">
      <w:rPr>
        <w:rFonts w:ascii="Antique Olive" w:hAnsi="Antique Olive"/>
        <w:sz w:val="24"/>
      </w:rPr>
      <w:drawing>
        <wp:anchor distT="0" distB="0" distL="114300" distR="114300" simplePos="0" relativeHeight="251659264" behindDoc="0" locked="0" layoutInCell="1" allowOverlap="1" wp14:anchorId="172FC8FD" wp14:editId="1F3E4430">
          <wp:simplePos x="0" y="0"/>
          <wp:positionH relativeFrom="margin">
            <wp:posOffset>5680710</wp:posOffset>
          </wp:positionH>
          <wp:positionV relativeFrom="paragraph">
            <wp:posOffset>-629285</wp:posOffset>
          </wp:positionV>
          <wp:extent cx="1476375" cy="430530"/>
          <wp:effectExtent l="0" t="0" r="9525" b="762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mipg_blanc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6375" cy="430530"/>
                  </a:xfrm>
                  <a:prstGeom prst="rect">
                    <a:avLst/>
                  </a:prstGeom>
                </pic:spPr>
              </pic:pic>
            </a:graphicData>
          </a:graphic>
          <wp14:sizeRelH relativeFrom="page">
            <wp14:pctWidth>0</wp14:pctWidth>
          </wp14:sizeRelH>
          <wp14:sizeRelV relativeFrom="page">
            <wp14:pctHeight>0</wp14:pctHeight>
          </wp14:sizeRelV>
        </wp:anchor>
      </w:drawing>
    </w:r>
    <w:r w:rsidRPr="00262D01">
      <w:rPr>
        <w:rFonts w:ascii="Antique Olive" w:hAnsi="Antique Olive"/>
        <w:sz w:val="24"/>
      </w:rPr>
      <mc:AlternateContent>
        <mc:Choice Requires="wps">
          <w:drawing>
            <wp:anchor distT="45720" distB="45720" distL="114300" distR="114300" simplePos="0" relativeHeight="251660288" behindDoc="0" locked="0" layoutInCell="1" allowOverlap="1" wp14:anchorId="2669805B" wp14:editId="386DEB4A">
              <wp:simplePos x="0" y="0"/>
              <wp:positionH relativeFrom="margin">
                <wp:posOffset>0</wp:posOffset>
              </wp:positionH>
              <wp:positionV relativeFrom="paragraph">
                <wp:posOffset>-183515</wp:posOffset>
              </wp:positionV>
              <wp:extent cx="1847850" cy="314325"/>
              <wp:effectExtent l="0"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314325"/>
                      </a:xfrm>
                      <a:prstGeom prst="rect">
                        <a:avLst/>
                      </a:prstGeom>
                      <a:noFill/>
                      <a:ln w="9525">
                        <a:noFill/>
                        <a:miter lim="800000"/>
                        <a:headEnd/>
                        <a:tailEnd/>
                      </a:ln>
                    </wps:spPr>
                    <wps:txbx>
                      <w:txbxContent>
                        <w:p w:rsidR="00194834" w:rsidRPr="00262D01" w:rsidRDefault="00194834" w:rsidP="00194834">
                          <w:pPr>
                            <w:spacing w:after="0" w:line="192" w:lineRule="auto"/>
                            <w:jc w:val="center"/>
                            <w:rPr>
                              <w:rFonts w:ascii="Trebuchet MS" w:hAnsi="Trebuchet MS"/>
                              <w:color w:val="FFFFFF" w:themeColor="background1"/>
                              <w:sz w:val="15"/>
                              <w:szCs w:val="15"/>
                            </w:rPr>
                          </w:pPr>
                          <w:r w:rsidRPr="00262D01">
                            <w:rPr>
                              <w:rFonts w:ascii="Trebuchet MS" w:hAnsi="Trebuchet MS"/>
                              <w:color w:val="FFFFFF" w:themeColor="background1"/>
                              <w:sz w:val="15"/>
                              <w:szCs w:val="15"/>
                            </w:rPr>
                            <w:t>Departamento Administrativo de la</w:t>
                          </w:r>
                        </w:p>
                        <w:p w:rsidR="00194834" w:rsidRPr="00262D01" w:rsidRDefault="00194834" w:rsidP="00194834">
                          <w:pPr>
                            <w:spacing w:after="0" w:line="192" w:lineRule="auto"/>
                            <w:jc w:val="center"/>
                            <w:rPr>
                              <w:rFonts w:ascii="Trebuchet MS" w:hAnsi="Trebuchet MS"/>
                              <w:color w:val="FFFFFF" w:themeColor="background1"/>
                              <w:sz w:val="15"/>
                              <w:szCs w:val="15"/>
                            </w:rPr>
                          </w:pPr>
                          <w:r w:rsidRPr="00262D01">
                            <w:rPr>
                              <w:rFonts w:ascii="Trebuchet MS" w:hAnsi="Trebuchet MS"/>
                              <w:color w:val="FFFFFF" w:themeColor="background1"/>
                              <w:sz w:val="15"/>
                              <w:szCs w:val="15"/>
                            </w:rPr>
                            <w:t>Defensoría del Espacio Público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69805B" id="_x0000_s1027" type="#_x0000_t202" style="position:absolute;margin-left:0;margin-top:-14.45pt;width:145.5pt;height:24.7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" filled="f" stroked="f">
              <v:textbox>
                <w:txbxContent>
                  <w:p w:rsidR="00194834" w:rsidRPr="00262D01" w:rsidRDefault="00194834" w:rsidP="00194834">
                    <w:pPr>
                      <w:spacing w:after="0" w:line="192" w:lineRule="auto"/>
                      <w:jc w:val="center"/>
                      <w:rPr>
                        <w:rFonts w:ascii="Trebuchet MS" w:hAnsi="Trebuchet MS"/>
                        <w:color w:val="FFFFFF" w:themeColor="background1"/>
                        <w:sz w:val="15"/>
                        <w:szCs w:val="15"/>
                      </w:rPr>
                    </w:pPr>
                    <w:r w:rsidRPr="00262D01">
                      <w:rPr>
                        <w:rFonts w:ascii="Trebuchet MS" w:hAnsi="Trebuchet MS"/>
                        <w:color w:val="FFFFFF" w:themeColor="background1"/>
                        <w:sz w:val="15"/>
                        <w:szCs w:val="15"/>
                      </w:rPr>
                      <w:t>Departamento Administrativo de la</w:t>
                    </w:r>
                  </w:p>
                  <w:p w:rsidR="00194834" w:rsidRPr="00262D01" w:rsidRDefault="00194834" w:rsidP="00194834">
                    <w:pPr>
                      <w:spacing w:after="0" w:line="192" w:lineRule="auto"/>
                      <w:jc w:val="center"/>
                      <w:rPr>
                        <w:rFonts w:ascii="Trebuchet MS" w:hAnsi="Trebuchet MS"/>
                        <w:color w:val="FFFFFF" w:themeColor="background1"/>
                        <w:sz w:val="15"/>
                        <w:szCs w:val="15"/>
                      </w:rPr>
                    </w:pPr>
                    <w:r w:rsidRPr="00262D01">
                      <w:rPr>
                        <w:rFonts w:ascii="Trebuchet MS" w:hAnsi="Trebuchet MS"/>
                        <w:color w:val="FFFFFF" w:themeColor="background1"/>
                        <w:sz w:val="15"/>
                        <w:szCs w:val="15"/>
                      </w:rPr>
                      <w:t>Defensoría del Espacio Público</w:t>
                    </w:r>
                  </w:p>
                </w:txbxContent>
              </v:textbox>
              <w10:wrap anchorx="margin"/>
            </v:shape>
          </w:pict>
        </mc:Fallback>
      </mc:AlternateContent>
    </w:r>
    <w:r>
      <w:rPr>
        <w:noProof/>
        <w:lang w:eastAsia="es-CO"/>
      </w:rPr>
      <w:drawing>
        <wp:anchor distT="0" distB="0" distL="114300" distR="114300" simplePos="0" relativeHeight="251661312" behindDoc="0" locked="0" layoutInCell="1" allowOverlap="1" wp14:anchorId="4ADCB727" wp14:editId="106B3C98">
          <wp:simplePos x="0" y="0"/>
          <wp:positionH relativeFrom="margin">
            <wp:posOffset>104775</wp:posOffset>
          </wp:positionH>
          <wp:positionV relativeFrom="paragraph">
            <wp:posOffset>-781685</wp:posOffset>
          </wp:positionV>
          <wp:extent cx="1637665" cy="589915"/>
          <wp:effectExtent l="0" t="0" r="0" b="635"/>
          <wp:wrapNone/>
          <wp:docPr id="1" name="Imagen 1" descr="http://www.bogotaturismo.gov.co/sites/default/files/logos-bmt-idt-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ogotaturismo.gov.co/sites/default/files/logos-bmt-idt-6.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t="9120" b="10134"/>
                  <a:stretch/>
                </pic:blipFill>
                <pic:spPr bwMode="auto">
                  <a:xfrm>
                    <a:off x="0" y="0"/>
                    <a:ext cx="1637665" cy="5899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4571B5"/>
    <w:multiLevelType w:val="hybridMultilevel"/>
    <w:tmpl w:val="9BD4AE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revisionView w:inkAnnotations="0"/>
  <w:defaultTabStop w:val="708"/>
  <w:hyphenationZone w:val="425"/>
  <w:characterSpacingControl w:val="doNotCompress"/>
  <w:hdrShapeDefaults>
    <o:shapedefaults v:ext="edit" spidmax="2049">
      <o:colormenu v:ext="edit" fillcolor="#ffc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A78"/>
    <w:rsid w:val="00021A78"/>
    <w:rsid w:val="00160E5D"/>
    <w:rsid w:val="00194834"/>
    <w:rsid w:val="00204797"/>
    <w:rsid w:val="00262D01"/>
    <w:rsid w:val="00341CF8"/>
    <w:rsid w:val="0048647F"/>
    <w:rsid w:val="004B4D2C"/>
    <w:rsid w:val="005137C7"/>
    <w:rsid w:val="005A0397"/>
    <w:rsid w:val="00693399"/>
    <w:rsid w:val="007F226F"/>
    <w:rsid w:val="007F4964"/>
    <w:rsid w:val="00850AD2"/>
    <w:rsid w:val="009A4373"/>
    <w:rsid w:val="00A82179"/>
    <w:rsid w:val="00E4379C"/>
    <w:rsid w:val="00ED1EA3"/>
    <w:rsid w:val="00F867E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fillcolor="#ffc000"/>
    </o:shapedefaults>
    <o:shapelayout v:ext="edit">
      <o:idmap v:ext="edit" data="1"/>
    </o:shapelayout>
  </w:shapeDefaults>
  <w:decimalSymbol w:val="."/>
  <w:listSeparator w:val=","/>
  <w15:chartTrackingRefBased/>
  <w15:docId w15:val="{1A51F524-02DD-4C62-BA66-67A6A1761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21A78"/>
    <w:pPr>
      <w:ind w:left="720"/>
      <w:contextualSpacing/>
    </w:pPr>
  </w:style>
  <w:style w:type="character" w:styleId="Hipervnculo">
    <w:name w:val="Hyperlink"/>
    <w:basedOn w:val="Fuentedeprrafopredeter"/>
    <w:uiPriority w:val="99"/>
    <w:unhideWhenUsed/>
    <w:rsid w:val="00021A78"/>
    <w:rPr>
      <w:color w:val="0000FF"/>
      <w:u w:val="single"/>
    </w:rPr>
  </w:style>
  <w:style w:type="paragraph" w:styleId="Encabezado">
    <w:name w:val="header"/>
    <w:basedOn w:val="Normal"/>
    <w:link w:val="EncabezadoCar"/>
    <w:uiPriority w:val="99"/>
    <w:unhideWhenUsed/>
    <w:rsid w:val="0019483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94834"/>
  </w:style>
  <w:style w:type="paragraph" w:styleId="Piedepgina">
    <w:name w:val="footer"/>
    <w:basedOn w:val="Normal"/>
    <w:link w:val="PiedepginaCar"/>
    <w:uiPriority w:val="99"/>
    <w:unhideWhenUsed/>
    <w:rsid w:val="0019483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948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dep.gov.co/transparencia/sistema-integrado-de-gestion/mip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dadep.gov.co/sites/default/files/sig/plan_de_accion_2019_mipg.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dadep.gov.co/transparencia/sistema-integrado-de-gestion/gestion-riesgos/politica-gestion-riesgos" TargetMode="External"/><Relationship Id="rId4" Type="http://schemas.openxmlformats.org/officeDocument/2006/relationships/webSettings" Target="webSettings.xml"/><Relationship Id="rId9" Type="http://schemas.openxmlformats.org/officeDocument/2006/relationships/hyperlink" Target="https://www.dadep.gov.co/transparencia/sistema-integrado-de-gestion/mip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306</TotalTime>
  <Pages>2</Pages>
  <Words>761</Words>
  <Characters>4186</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Arango Vargas</dc:creator>
  <cp:keywords/>
  <dc:description/>
  <cp:lastModifiedBy>Luis Fernando Arango Vargas</cp:lastModifiedBy>
  <cp:revision>6</cp:revision>
  <dcterms:created xsi:type="dcterms:W3CDTF">2019-03-29T11:00:00Z</dcterms:created>
  <dcterms:modified xsi:type="dcterms:W3CDTF">2019-03-29T16:08:00Z</dcterms:modified>
</cp:coreProperties>
</file>